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24"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苋菜红</w:t>
      </w:r>
    </w:p>
    <w:p>
      <w:pPr>
        <w:widowControl/>
        <w:shd w:val="clear" w:color="auto" w:fill="FFFFFF"/>
        <w:snapToGrid w:val="0"/>
        <w:spacing w:line="590" w:lineRule="exact"/>
        <w:ind w:firstLine="624"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苋菜红是常见的人工合成着色剂，在现代食品业中应用广泛。相比于天然色素，具有着色力强、成本低等特点。《食品安全国家标准 食品添加剂使用标准》（GB 2760</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2014）中规定，蜜饯凉果中苋菜红的最大使用量值为0.05g/kg。蜜饯凉果中苋菜红超标的原因，可能是生产企业为改善产品色泽超限量使用苋菜红。</w:t>
      </w:r>
    </w:p>
    <w:p>
      <w:pPr>
        <w:widowControl/>
        <w:shd w:val="clear" w:color="auto" w:fill="FFFFFF"/>
        <w:snapToGrid w:val="0"/>
        <w:spacing w:line="590" w:lineRule="exact"/>
        <w:ind w:firstLine="624" w:firstLineChars="200"/>
        <w:rPr>
          <w:rFonts w:hint="eastAsia" w:ascii="黑体" w:hAnsi="黑体" w:eastAsia="黑体"/>
          <w:highlight w:val="none"/>
        </w:rPr>
      </w:pPr>
      <w:r>
        <w:rPr>
          <w:rFonts w:hint="eastAsia" w:ascii="黑体" w:hAnsi="黑体" w:eastAsia="黑体"/>
          <w:highlight w:val="none"/>
          <w:lang w:eastAsia="zh-CN"/>
        </w:rPr>
        <w:t>二</w:t>
      </w:r>
      <w:r>
        <w:rPr>
          <w:rFonts w:hint="eastAsia" w:ascii="黑体" w:hAnsi="黑体" w:eastAsia="黑体"/>
          <w:highlight w:val="none"/>
        </w:rPr>
        <w:t>、</w:t>
      </w:r>
      <w:r>
        <w:rPr>
          <w:rFonts w:hint="eastAsia" w:ascii="黑体" w:hAnsi="黑体" w:eastAsia="黑体"/>
          <w:highlight w:val="none"/>
          <w:lang w:eastAsia="zh-CN"/>
        </w:rPr>
        <w:t>4-氯苯氧乙酸钠</w:t>
      </w:r>
    </w:p>
    <w:p>
      <w:pPr>
        <w:widowControl/>
        <w:shd w:val="clear" w:color="auto" w:fill="FFFFFF"/>
        <w:snapToGrid w:val="0"/>
        <w:spacing w:line="590" w:lineRule="exact"/>
        <w:ind w:firstLine="624"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4-氯苯氧乙酸钠（以4-氯苯氧乙酸计）又称防落素、保果灵，是一种植物生长调节剂。《国家食品药品监督管理总局农业部 国家卫生和计划生育委员会关于豆芽生产过程中禁止使用6-苄基腺嘌呤等物质的公告》（2015年第11号）中规定，生产者不得在豆芽生产过程中使用6-苄基腺嘌呤、4-氯苯氧乙酸钠、赤霉素等物质，豆芽经营者不得经营含有6-苄基腺嘌呤、4-氯苯氧乙酸钠、赤霉素等物质的豆芽。豆芽中检出4-氯苯氧乙酸钠的原因，可能是生产者为提高豆芽产量，从而违规使用</w:t>
      </w:r>
      <w:r>
        <w:rPr>
          <w:rFonts w:hint="eastAsia" w:ascii="Times New Roman" w:hAnsi="Times New Roman" w:eastAsia="仿宋_GB2312"/>
          <w:highlight w:val="none"/>
          <w:lang w:eastAsia="zh-CN"/>
        </w:rPr>
        <w:t>。</w:t>
      </w:r>
    </w:p>
    <w:p>
      <w:pPr>
        <w:widowControl/>
        <w:shd w:val="clear" w:color="auto" w:fill="FFFFFF"/>
        <w:snapToGrid w:val="0"/>
        <w:spacing w:line="590" w:lineRule="exact"/>
        <w:ind w:firstLine="624" w:firstLineChars="200"/>
        <w:rPr>
          <w:rFonts w:hint="eastAsia" w:ascii="黑体" w:hAnsi="黑体" w:eastAsia="黑体"/>
          <w:highlight w:val="none"/>
        </w:rPr>
      </w:pPr>
      <w:r>
        <w:rPr>
          <w:rFonts w:hint="eastAsia" w:ascii="黑体" w:hAnsi="黑体" w:eastAsia="黑体"/>
          <w:highlight w:val="none"/>
          <w:lang w:eastAsia="zh-CN"/>
        </w:rPr>
        <w:t>三</w:t>
      </w:r>
      <w:r>
        <w:rPr>
          <w:rFonts w:hint="eastAsia" w:ascii="黑体" w:hAnsi="黑体" w:eastAsia="黑体"/>
          <w:highlight w:val="none"/>
        </w:rPr>
        <w:t>、</w:t>
      </w:r>
      <w:r>
        <w:rPr>
          <w:rFonts w:hint="eastAsia" w:ascii="黑体" w:hAnsi="黑体" w:eastAsia="黑体"/>
          <w:highlight w:val="none"/>
          <w:lang w:eastAsia="zh-CN"/>
        </w:rPr>
        <w:t>铅（以Pb计）</w:t>
      </w:r>
    </w:p>
    <w:p>
      <w:pPr>
        <w:widowControl/>
        <w:shd w:val="clear" w:color="auto" w:fill="FFFFFF"/>
        <w:snapToGrid w:val="0"/>
        <w:spacing w:line="590" w:lineRule="exact"/>
        <w:ind w:firstLine="624" w:firstLineChars="200"/>
        <w:rPr>
          <w:rFonts w:hint="eastAsia" w:ascii="Times New Roman" w:hAnsi="Times New Roman" w:eastAsia="仿宋_GB2312"/>
          <w:highlight w:val="none"/>
          <w:lang w:eastAsia="zh-CN"/>
        </w:rPr>
      </w:pPr>
      <w:r>
        <w:rPr>
          <w:rFonts w:hint="eastAsia" w:ascii="Times New Roman" w:hAnsi="Times New Roman" w:eastAsia="仿宋_GB2312"/>
          <w:highlight w:val="none"/>
        </w:rPr>
        <w:t>铅是最常见的重金属元素污染物之一。《食品安全国家标准食品中污染物限量》（GB 2762</w:t>
      </w:r>
      <w:r>
        <w:rPr>
          <w:rFonts w:hint="eastAsia" w:ascii="Times New Roman" w:hAnsi="Times New Roman" w:eastAsia="仿宋_GB2312"/>
          <w:highlight w:val="none"/>
          <w:lang w:val="en-US" w:eastAsia="zh-CN"/>
        </w:rPr>
        <w:t>-</w:t>
      </w:r>
      <w:r>
        <w:rPr>
          <w:rFonts w:hint="eastAsia" w:ascii="Times New Roman" w:hAnsi="Times New Roman" w:eastAsia="仿宋_GB2312"/>
          <w:highlight w:val="none"/>
        </w:rPr>
        <w:t>2017）规定茎类蔬菜中铅的最大限量值为0.1mg/kg。豆芽中铅超标的原因，可能是蔬菜种植过程中对环境中铅元素的富集。铅可在人体内积累，长期摄入铅超标的食品会严重影响大脑和神经系统，尤其会对儿童造成智力发育障碍和表现行为异常</w:t>
      </w:r>
      <w:r>
        <w:rPr>
          <w:rFonts w:hint="eastAsia" w:ascii="Times New Roman" w:hAnsi="Times New Roman" w:eastAsia="仿宋_GB2312"/>
          <w:highlight w:val="none"/>
          <w:lang w:eastAsia="zh-CN"/>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广泛分布于各种水、空气、正常人的皮肤、呼吸道和肠道等，易在潮湿的环境存活。如果桶装水的消费周期较长，营养要求较低的铜绿假单胞菌可生长繁殖，可能会引起味道、气味和浊度的改变。</w:t>
      </w:r>
      <w:r>
        <w:rPr>
          <w:rFonts w:hint="eastAsia" w:ascii="Times New Roman" w:hAnsi="Times New Roman" w:eastAsia="仿宋_GB2312" w:cs="Times New Roman"/>
          <w:color w:val="auto"/>
          <w:highlight w:val="none"/>
          <w:lang w:eastAsia="zh-CN"/>
        </w:rPr>
        <w:t>《食品安全国家标准 包装饮用水》（GB 19298-2014）</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苯甲酸及其钠盐</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苯甲酸及其钠盐是食品工业中常见的一种防腐剂，对霉菌、酵母和细菌有较好的抑制作用。苯甲酸及其钠盐（以苯甲酸计）的安全性较高，少量苯甲酸对人体无毒害，可随尿液排出体外，在人体内不会蓄积。但过量食入苯甲酸会引起腹泻、肚痛、心跳快等症状，长期使用可能引起肝肾脏的慢性损害。《食品安全国家标准 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2014）中规定，熟肉干制品中不得使用苯甲酸及其钠盐。熟肉干制品中苯甲酸及其钠盐不合格的原因，可能是企业为延长产品保质期或者为弥补产品生产中卫生条件不佳而超范围使用，或者未准确计量。</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氧乐果</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氧乐果属于有机磷类杀虫剂，具有较强的内吸、触杀和胃毒作用，主要用于防治吮吸式口器害虫和植物性螨。《食品安全国家标准食品中农药最大残留限量》（GB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2016）中规定，氧乐果在</w:t>
      </w:r>
      <w:r>
        <w:rPr>
          <w:rFonts w:hint="eastAsia" w:ascii="Times New Roman" w:hAnsi="Times New Roman" w:eastAsia="仿宋_GB2312" w:cs="Times New Roman"/>
          <w:color w:val="auto"/>
          <w:highlight w:val="none"/>
          <w:lang w:eastAsia="zh-CN"/>
        </w:rPr>
        <w:t>蔬菜</w:t>
      </w:r>
      <w:r>
        <w:rPr>
          <w:rFonts w:hint="eastAsia" w:ascii="Times New Roman" w:hAnsi="Times New Roman" w:eastAsia="仿宋_GB2312" w:cs="Times New Roman"/>
          <w:color w:val="auto"/>
          <w:highlight w:val="none"/>
        </w:rPr>
        <w:t>中的最大残留限量为0.02mg/kg。少量的农药残留不会引起人体急性中毒，但长期食用农药残留超标的食品，对人体健康有一定影响。</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镉（以Cd计）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镉是最常见的重金属元素污染物之一。《食品安全国家标准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 mg/kg。水产品中镉超标的原因，可能是水产品养殖过程中对环境中镉元素的富集。镉对人体的危害主要是慢性蓄积性。长期大量摄入镉含量超标的食品可能会导致肾和骨骼损伤等健康危害。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E7001"/>
    <w:rsid w:val="26153BC5"/>
    <w:rsid w:val="5D0570A9"/>
    <w:rsid w:val="783E700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2020-11-13T06:20:00Z</dcterms:created>
  <dc:creator>罗钰珊</dc:creator>
  <cp:lastModifiedBy>罗钰珊</cp:lastModifiedBy>
  <dcterms:modified xsi:type="dcterms:W3CDTF">2020-11-13T06:21:15Z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